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38" w:rsidRDefault="00BE473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E4738" w:rsidRDefault="00BE4738">
      <w:pPr>
        <w:pStyle w:val="ConsPlusNormal"/>
        <w:jc w:val="both"/>
      </w:pPr>
    </w:p>
    <w:p w:rsidR="00BE4738" w:rsidRDefault="00BE4738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BE4738" w:rsidRDefault="00BE4738">
      <w:pPr>
        <w:pStyle w:val="ConsPlusTitle"/>
        <w:jc w:val="center"/>
      </w:pPr>
    </w:p>
    <w:p w:rsidR="00BE4738" w:rsidRDefault="00BE4738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BE4738" w:rsidRDefault="00BE4738">
      <w:pPr>
        <w:pStyle w:val="ConsPlusTitle"/>
        <w:jc w:val="center"/>
      </w:pPr>
    </w:p>
    <w:p w:rsidR="00BE4738" w:rsidRDefault="00BE4738">
      <w:pPr>
        <w:pStyle w:val="ConsPlusTitle"/>
        <w:jc w:val="center"/>
      </w:pPr>
      <w:r>
        <w:t>ПИСЬМО</w:t>
      </w:r>
    </w:p>
    <w:p w:rsidR="00BE4738" w:rsidRDefault="00BE4738">
      <w:pPr>
        <w:pStyle w:val="ConsPlusTitle"/>
        <w:jc w:val="center"/>
      </w:pPr>
      <w:r>
        <w:t>от 2 февраля 2014 г. N 01-20/06-01</w:t>
      </w:r>
    </w:p>
    <w:p w:rsidR="00BE4738" w:rsidRDefault="00BE4738">
      <w:pPr>
        <w:pStyle w:val="ConsPlusTitle"/>
        <w:jc w:val="center"/>
      </w:pPr>
    </w:p>
    <w:p w:rsidR="00BE4738" w:rsidRDefault="00BE4738">
      <w:pPr>
        <w:pStyle w:val="ConsPlusTitle"/>
        <w:jc w:val="center"/>
      </w:pPr>
      <w:r>
        <w:t>О ГОСУДАРСТВЕННОЙ АККРЕДИТАЦИИ ОБРАЗОВАТЕЛЬНОЙ ДЕЯТЕЛЬНОСТИ</w:t>
      </w:r>
    </w:p>
    <w:p w:rsidR="00BE4738" w:rsidRDefault="00BE4738">
      <w:pPr>
        <w:pStyle w:val="ConsPlusNormal"/>
        <w:ind w:firstLine="540"/>
        <w:jc w:val="both"/>
      </w:pPr>
    </w:p>
    <w:p w:rsidR="00BE4738" w:rsidRDefault="00BE4738">
      <w:pPr>
        <w:pStyle w:val="ConsPlusNormal"/>
        <w:ind w:firstLine="540"/>
        <w:jc w:val="both"/>
      </w:pPr>
      <w:proofErr w:type="gramStart"/>
      <w:r>
        <w:t xml:space="preserve">В связи с вступлением в силу с 30 ноября 2013 года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18.11.2013 N 1039 "О государственной аккредитации образовательной деятельности" (далее - Положение о государственной аккредитации) Федеральная служба по надзору в сфере образования и науки (Рособрнадзор) разъясняет порядок предоставления документов на процедуру проведения государственной аккредитации образовательной деятельности на период до принятия соответствующих подзаконных нормативных правовых актов.</w:t>
      </w:r>
      <w:proofErr w:type="gramEnd"/>
    </w:p>
    <w:p w:rsidR="00BE4738" w:rsidRDefault="00BE4738">
      <w:pPr>
        <w:pStyle w:val="ConsPlusNormal"/>
        <w:ind w:firstLine="540"/>
        <w:jc w:val="both"/>
      </w:pPr>
      <w:r>
        <w:t xml:space="preserve">Государственная аккредитация проводится в соответствии с требованиями </w:t>
      </w:r>
      <w:hyperlink r:id="rId7" w:history="1">
        <w:r>
          <w:rPr>
            <w:color w:val="0000FF"/>
          </w:rPr>
          <w:t>статьи 92</w:t>
        </w:r>
      </w:hyperlink>
      <w:r>
        <w:t xml:space="preserve"> Федерального закона от 29.12.2012 N 273-ФЗ "Об образовании в Российской Федерации" (далее - Закон), вступившего в силу с 1 сентября 2013 года, и </w:t>
      </w:r>
      <w:hyperlink r:id="rId8" w:history="1">
        <w:r>
          <w:rPr>
            <w:color w:val="0000FF"/>
          </w:rPr>
          <w:t>Положения</w:t>
        </w:r>
      </w:hyperlink>
      <w:r>
        <w:t xml:space="preserve"> о государственной аккредитации. Подзаконные нормативные правовые акты, регулирующие процедуру государственной аккредитации и изданные до вступления в силу </w:t>
      </w:r>
      <w:hyperlink r:id="rId9" w:history="1">
        <w:r>
          <w:rPr>
            <w:color w:val="0000FF"/>
          </w:rPr>
          <w:t>Закона</w:t>
        </w:r>
      </w:hyperlink>
      <w:r>
        <w:t xml:space="preserve"> и </w:t>
      </w:r>
      <w:hyperlink r:id="rId10" w:history="1">
        <w:r>
          <w:rPr>
            <w:color w:val="0000FF"/>
          </w:rPr>
          <w:t>Положения</w:t>
        </w:r>
      </w:hyperlink>
      <w:r>
        <w:t xml:space="preserve"> о государственной аккредитации, применяются в части, не противоречащей законодательству Российской Федерации, до принятия соответствующих нормативных правовых актов.</w:t>
      </w:r>
    </w:p>
    <w:p w:rsidR="00BE4738" w:rsidRDefault="00BE4738">
      <w:pPr>
        <w:pStyle w:val="ConsPlusNormal"/>
        <w:ind w:firstLine="540"/>
        <w:jc w:val="both"/>
      </w:pPr>
      <w:proofErr w:type="gramStart"/>
      <w:r>
        <w:t xml:space="preserve">Организация, осуществляющая образовательную деятельность, представляет в Рособрнадзор заявление о государственной аккредитации и комплект документов, в соответствии с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Минобрнауки России от 18.09.2012 N 729 "Об утверждении форм заявлений о проведении государственной аккредитации, о выдаче временного свидетельства о государственной аккредитации и о переоформлении свидетельства о государственной аккредитации" (зарегистрирован Минюстом России 26.1 1.2012, регистрационный N 25925), без представления документов, требовавшихся для установления</w:t>
      </w:r>
      <w:proofErr w:type="gramEnd"/>
      <w:r>
        <w:t xml:space="preserve"> (подтверждения) государственного статуса образовательной организации.</w:t>
      </w:r>
    </w:p>
    <w:p w:rsidR="00BE4738" w:rsidRDefault="00BE4738">
      <w:pPr>
        <w:pStyle w:val="ConsPlusNormal"/>
        <w:ind w:firstLine="540"/>
        <w:jc w:val="both"/>
      </w:pPr>
      <w:r>
        <w:t xml:space="preserve">Перечень документов, прилагаемых к заявлению, установлен </w:t>
      </w:r>
      <w:hyperlink r:id="rId12" w:history="1">
        <w:r>
          <w:rPr>
            <w:color w:val="0000FF"/>
          </w:rPr>
          <w:t>пунктами 8</w:t>
        </w:r>
      </w:hyperlink>
      <w:r>
        <w:t xml:space="preserve"> - </w:t>
      </w:r>
      <w:hyperlink r:id="rId13" w:history="1">
        <w:r>
          <w:rPr>
            <w:color w:val="0000FF"/>
          </w:rPr>
          <w:t>11</w:t>
        </w:r>
      </w:hyperlink>
      <w:r>
        <w:t xml:space="preserve"> Положения о государственной аккредитации.</w:t>
      </w:r>
    </w:p>
    <w:p w:rsidR="00BE4738" w:rsidRDefault="00BE4738">
      <w:pPr>
        <w:pStyle w:val="ConsPlusNormal"/>
        <w:ind w:firstLine="540"/>
        <w:jc w:val="both"/>
      </w:pPr>
      <w:r>
        <w:t xml:space="preserve">При этом необходимо учитывать, что в соответствии с </w:t>
      </w:r>
      <w:hyperlink r:id="rId14" w:history="1">
        <w:r>
          <w:rPr>
            <w:color w:val="0000FF"/>
          </w:rPr>
          <w:t>пунктом 5 статьи 10</w:t>
        </w:r>
      </w:hyperlink>
      <w:r>
        <w:t xml:space="preserve"> Закона в Российской Федерации установлены следующие уровни профессионального образования: среднее профессиональное образование - подготовка квалифицированных рабочих, служащих, подготовка специалистов среднего звена; высшее образование - бакалавриат; специалитет, магистратура; подготовка кадров высшей квалификации.</w:t>
      </w:r>
    </w:p>
    <w:p w:rsidR="00BE4738" w:rsidRDefault="00BE4738">
      <w:pPr>
        <w:pStyle w:val="ConsPlusNormal"/>
        <w:ind w:firstLine="540"/>
        <w:jc w:val="both"/>
      </w:pPr>
      <w:r>
        <w:t xml:space="preserve">В соответствии с </w:t>
      </w:r>
      <w:hyperlink r:id="rId15" w:history="1">
        <w:r>
          <w:rPr>
            <w:color w:val="0000FF"/>
          </w:rPr>
          <w:t>частью 1 статьи 92</w:t>
        </w:r>
      </w:hyperlink>
      <w:r>
        <w:t xml:space="preserve"> Закона государственная аккредитация образовательной деятельности проводится по основным образовательным программам, реализуемым в соответствии с федеральными государственными образовательными стандартами. </w:t>
      </w:r>
      <w:proofErr w:type="gramStart"/>
      <w:r>
        <w:t xml:space="preserve">На момент подачи заявления необходимо учитывать, что в силу </w:t>
      </w:r>
      <w:hyperlink r:id="rId16" w:history="1">
        <w:r>
          <w:rPr>
            <w:color w:val="0000FF"/>
          </w:rPr>
          <w:t>статьи 108</w:t>
        </w:r>
      </w:hyperlink>
      <w:r>
        <w:t xml:space="preserve"> Закона образовательные уровни (образовательные цензы) и образовательные программы, реализующиеся в Российской Федерации до дня вступления в силу </w:t>
      </w:r>
      <w:hyperlink r:id="rId17" w:history="1">
        <w:r>
          <w:rPr>
            <w:color w:val="0000FF"/>
          </w:rPr>
          <w:t>Закона</w:t>
        </w:r>
      </w:hyperlink>
      <w:r>
        <w:t xml:space="preserve">, приравниваются и тождественны уровням и образовательным программам, предусмотренным </w:t>
      </w:r>
      <w:hyperlink r:id="rId18" w:history="1">
        <w:r>
          <w:rPr>
            <w:color w:val="0000FF"/>
          </w:rPr>
          <w:t>Законом</w:t>
        </w:r>
      </w:hyperlink>
      <w:r>
        <w:t>. Например, в заявлении образовательные программы начального профессионального образования должны быть поименованы как среднее профессиональное образование по программам подготовки квалифицированных рабочих (служащих).</w:t>
      </w:r>
      <w:proofErr w:type="gramEnd"/>
    </w:p>
    <w:p w:rsidR="00BE4738" w:rsidRDefault="00BE4738">
      <w:pPr>
        <w:pStyle w:val="ConsPlusNormal"/>
        <w:ind w:firstLine="540"/>
        <w:jc w:val="both"/>
      </w:pPr>
      <w:proofErr w:type="gramStart"/>
      <w:r>
        <w:t xml:space="preserve">Для получения дубликата свидетельства организация, осуществляющая образовательную деятельность, представляет в Рособрнадзор заявление о предоставлении дубликата свидетельства, а также доверенность или иной документ, подтверждающий право </w:t>
      </w:r>
      <w:r>
        <w:lastRenderedPageBreak/>
        <w:t>уполномоченного лица организации, осуществляющей образовательную деятельность, направившего заявление и прилагаемые документы, действовать от ее имени.</w:t>
      </w:r>
      <w:proofErr w:type="gramEnd"/>
    </w:p>
    <w:p w:rsidR="00BE4738" w:rsidRDefault="00BE47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4738" w:rsidRDefault="00BE4738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BE4738" w:rsidRDefault="00BE4738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Постановлением</w:t>
        </w:r>
      </w:hyperlink>
      <w:r>
        <w:rPr>
          <w:color w:val="0A2666"/>
        </w:rPr>
        <w:t xml:space="preserve"> Правительства РФ от 20.04.2016 N 330 в абзац первый пункта 5 внесены изменения, в соответствии с которыми срок прохождения государственной аккредитации продлен до 1 января 2017 года.</w:t>
      </w:r>
    </w:p>
    <w:p w:rsidR="00BE4738" w:rsidRDefault="00BE47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4738" w:rsidRDefault="00BE4738">
      <w:pPr>
        <w:pStyle w:val="ConsPlusNormal"/>
        <w:ind w:firstLine="540"/>
        <w:jc w:val="both"/>
      </w:pPr>
      <w:proofErr w:type="gramStart"/>
      <w:r>
        <w:t xml:space="preserve">Также обращаем внимание, что </w:t>
      </w:r>
      <w:hyperlink r:id="rId20" w:history="1">
        <w:r>
          <w:rPr>
            <w:color w:val="0000FF"/>
          </w:rPr>
          <w:t>пунктом 5</w:t>
        </w:r>
      </w:hyperlink>
      <w:r>
        <w:t xml:space="preserve"> постановления Правительства Российской Федерации от 18.11.2013 N 1039 предусмотрено, что основные профессиональные образовательные программы высшего образования (программы подготовки научно-педагогических кадров в аспирантуре (адъюнктуре), программы ординатуры, программы ассистентуры-стажировки), считаются образовательными программами, имеющими государственную аккредитацию до 31 декабря 2014 года, в случаях реализации организацией, осуществляющей образовательную деятельность, программ:</w:t>
      </w:r>
      <w:proofErr w:type="gramEnd"/>
    </w:p>
    <w:p w:rsidR="00BE4738" w:rsidRDefault="00BE4738">
      <w:pPr>
        <w:pStyle w:val="ConsPlusNormal"/>
        <w:ind w:firstLine="540"/>
        <w:jc w:val="both"/>
      </w:pPr>
      <w:proofErr w:type="gramStart"/>
      <w:r>
        <w:t>по которым срок действия свидетельства о государственной аккредитации истекает после 1 сентября 2013 г., но не позднее вступления в силу федеральных государственных образовательных стандартов высшего образования в части подготовки кадров высшей квалификации, осуществляемой по результатам освоения указанных программ;</w:t>
      </w:r>
      <w:proofErr w:type="gramEnd"/>
    </w:p>
    <w:p w:rsidR="00BE4738" w:rsidRDefault="00BE4738">
      <w:pPr>
        <w:pStyle w:val="ConsPlusNormal"/>
        <w:ind w:firstLine="540"/>
        <w:jc w:val="both"/>
      </w:pPr>
      <w:r>
        <w:t xml:space="preserve">по </w:t>
      </w:r>
      <w:proofErr w:type="gramStart"/>
      <w:r>
        <w:t>которым</w:t>
      </w:r>
      <w:proofErr w:type="gramEnd"/>
      <w:r>
        <w:t xml:space="preserve"> имеются обучающиеся, завершающие обучение в период с 1 сентября 2013 г. до вступления в силу указанных федеральных государственных образовательных стандартов.</w:t>
      </w:r>
    </w:p>
    <w:p w:rsidR="00BE4738" w:rsidRDefault="00BE4738">
      <w:pPr>
        <w:pStyle w:val="ConsPlusNormal"/>
        <w:ind w:firstLine="540"/>
        <w:jc w:val="both"/>
      </w:pPr>
      <w:r>
        <w:t xml:space="preserve">Таким образом, указанные выше программы считаются аккредитованными на основании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18 ноября 2013 г. N 1039.</w:t>
      </w:r>
    </w:p>
    <w:p w:rsidR="00BE4738" w:rsidRDefault="00BE4738">
      <w:pPr>
        <w:pStyle w:val="ConsPlusNormal"/>
        <w:ind w:firstLine="540"/>
        <w:jc w:val="both"/>
      </w:pPr>
      <w:r>
        <w:t>После вступления в силу указанных федеральных государственных образовательных стандартов организации, осуществляющие образовательную деятельность, проходят государственную аккредитацию в отношении этих образовательных программ в установленном порядке.</w:t>
      </w:r>
    </w:p>
    <w:p w:rsidR="00BE4738" w:rsidRDefault="00BE4738">
      <w:pPr>
        <w:pStyle w:val="ConsPlusNormal"/>
        <w:ind w:firstLine="540"/>
        <w:jc w:val="both"/>
      </w:pPr>
      <w:r>
        <w:t>Таким образом, до вступления в силу указанных федеральных государственных образовательных стандартов заявления на государственную аккредитацию программ подготовки научно-педагогических кадров в аспирантуре (адъюнктуре), программ ординатуры, программ ассистентуры-стажировки не принимаются.</w:t>
      </w:r>
    </w:p>
    <w:p w:rsidR="00BE4738" w:rsidRDefault="00BE4738">
      <w:pPr>
        <w:pStyle w:val="ConsPlusNormal"/>
        <w:ind w:firstLine="540"/>
        <w:jc w:val="both"/>
      </w:pPr>
      <w:r>
        <w:t>Учитывая изложенное, необходимо отметить, что на период до 31 декабря 2014 года для реализации данной нормы не требуется наличие у организации, соответствующей указанным выше требованиям, действующего свидетельства о государственной аккредитации по таким образовательным программам.</w:t>
      </w:r>
    </w:p>
    <w:p w:rsidR="00BE4738" w:rsidRDefault="00BE4738">
      <w:pPr>
        <w:pStyle w:val="ConsPlusNormal"/>
        <w:ind w:firstLine="540"/>
        <w:jc w:val="both"/>
      </w:pPr>
      <w:r>
        <w:t xml:space="preserve">Информируем, что в соответствии с </w:t>
      </w:r>
      <w:hyperlink r:id="rId22" w:history="1">
        <w:r>
          <w:rPr>
            <w:color w:val="0000FF"/>
          </w:rPr>
          <w:t>частью 27 статьи 92</w:t>
        </w:r>
      </w:hyperlink>
      <w:r>
        <w:t xml:space="preserve"> Закона за выдачу свидетельства (временного свидетельства) о государственной аккредитации уплачивается государственная пошлина в размерах и порядке, которые установлены законодательством Российской Федерации о налогах и сборах.</w:t>
      </w:r>
    </w:p>
    <w:p w:rsidR="00BE4738" w:rsidRDefault="00BE4738">
      <w:pPr>
        <w:pStyle w:val="ConsPlusNormal"/>
        <w:ind w:firstLine="540"/>
        <w:jc w:val="both"/>
      </w:pPr>
      <w:r>
        <w:t>Государственная пошлина за выдачу свидетельства (временного свидетельства) уплачивается в соответствии с пунктами 127 - 131 части 1 статьи 333.33 Налогового кодекса Российской Федерации, положения которых в настоящее время применяются в части, не противоречащей законодательству в сфере образования.</w:t>
      </w:r>
    </w:p>
    <w:p w:rsidR="00BE4738" w:rsidRDefault="00BE4738">
      <w:pPr>
        <w:pStyle w:val="ConsPlusNormal"/>
        <w:ind w:firstLine="540"/>
        <w:jc w:val="both"/>
      </w:pPr>
      <w:r>
        <w:t xml:space="preserve">Так, </w:t>
      </w:r>
      <w:hyperlink r:id="rId23" w:history="1">
        <w:r>
          <w:rPr>
            <w:color w:val="0000FF"/>
          </w:rPr>
          <w:t>подпункт 128 части 1 статьи 333.33</w:t>
        </w:r>
      </w:hyperlink>
      <w:r>
        <w:t xml:space="preserve"> Налогового кодекса Российской Федерации вообще не подлежит применению, так как с 1 сентября 2013 года установление иного государственного статуса в отношении организаций, осуществляющих образовательную деятельность, не относится к сфере компетенции аккредитационных органов.</w:t>
      </w:r>
    </w:p>
    <w:p w:rsidR="00BE4738" w:rsidRDefault="00BE4738">
      <w:pPr>
        <w:pStyle w:val="ConsPlusNormal"/>
        <w:ind w:firstLine="540"/>
        <w:jc w:val="both"/>
      </w:pPr>
      <w:r>
        <w:t xml:space="preserve">Кроме того, не применяются </w:t>
      </w:r>
      <w:hyperlink r:id="rId24" w:history="1">
        <w:r>
          <w:rPr>
            <w:color w:val="0000FF"/>
          </w:rPr>
          <w:t>абзац третий подпункта 127</w:t>
        </w:r>
      </w:hyperlink>
      <w:r>
        <w:t xml:space="preserve"> и </w:t>
      </w:r>
      <w:hyperlink r:id="rId25" w:history="1">
        <w:r>
          <w:rPr>
            <w:color w:val="0000FF"/>
          </w:rPr>
          <w:t>абзац третий подпункта 128</w:t>
        </w:r>
      </w:hyperlink>
      <w:r>
        <w:t xml:space="preserve"> указанной статьи, говорящие об аккредитации дополнительных образовательных программ, в связи с тем, что в соответствии с </w:t>
      </w:r>
      <w:hyperlink r:id="rId26" w:history="1">
        <w:r>
          <w:rPr>
            <w:color w:val="0000FF"/>
          </w:rPr>
          <w:t>частью 1 статьи 92</w:t>
        </w:r>
      </w:hyperlink>
      <w:r>
        <w:t xml:space="preserve"> Федерального закона "Об образовании в Российской Федерации" аккредитация образовательной деятельности проводится исключительно по основным образовательным программам.</w:t>
      </w:r>
    </w:p>
    <w:p w:rsidR="00BE4738" w:rsidRDefault="00BE4738">
      <w:pPr>
        <w:pStyle w:val="ConsPlusNormal"/>
        <w:ind w:firstLine="540"/>
        <w:jc w:val="both"/>
      </w:pPr>
      <w:r>
        <w:t xml:space="preserve">Порядок и сроки уплаты государственной пошлины определены в </w:t>
      </w:r>
      <w:hyperlink r:id="rId27" w:history="1">
        <w:r>
          <w:rPr>
            <w:color w:val="0000FF"/>
          </w:rPr>
          <w:t>статье 333.18</w:t>
        </w:r>
      </w:hyperlink>
      <w:r>
        <w:t xml:space="preserve"> Налогового кодекса Российской Федерации. Указанной </w:t>
      </w:r>
      <w:hyperlink r:id="rId28" w:history="1">
        <w:r>
          <w:rPr>
            <w:color w:val="0000FF"/>
          </w:rPr>
          <w:t>статьей</w:t>
        </w:r>
      </w:hyperlink>
      <w:r>
        <w:t xml:space="preserve"> предусмотрено, что при обращении за </w:t>
      </w:r>
      <w:r>
        <w:lastRenderedPageBreak/>
        <w:t xml:space="preserve">совершением соответствующих юридически значимых действий государственная пошлина уплачивается до подачи заявлений и (или) документов на совершение таких действий либо до подачи соответствующих документов </w:t>
      </w:r>
      <w:hyperlink r:id="rId29" w:history="1">
        <w:r>
          <w:rPr>
            <w:color w:val="0000FF"/>
          </w:rPr>
          <w:t>(подпункт 6 пункта 1)</w:t>
        </w:r>
      </w:hyperlink>
      <w:r>
        <w:t>.</w:t>
      </w:r>
    </w:p>
    <w:p w:rsidR="00BE4738" w:rsidRDefault="00BE4738">
      <w:pPr>
        <w:pStyle w:val="ConsPlusNormal"/>
        <w:ind w:firstLine="540"/>
        <w:jc w:val="both"/>
      </w:pPr>
      <w:r>
        <w:t>Обращаем также внимание на ряд изменений в процедуре проведения аккредитационной экспертизы.</w:t>
      </w:r>
    </w:p>
    <w:p w:rsidR="00BE4738" w:rsidRDefault="00BE4738">
      <w:pPr>
        <w:pStyle w:val="ConsPlusNormal"/>
        <w:ind w:firstLine="540"/>
        <w:jc w:val="both"/>
      </w:pPr>
      <w:r>
        <w:t>Аккредитационная экспертиза проводится экспертной группой, возглавляемой руководителем экспертной группы.</w:t>
      </w:r>
    </w:p>
    <w:p w:rsidR="00BE4738" w:rsidRDefault="00BE4738">
      <w:pPr>
        <w:pStyle w:val="ConsPlusNormal"/>
        <w:ind w:firstLine="540"/>
        <w:jc w:val="both"/>
      </w:pPr>
      <w:r>
        <w:t>По окончании проведения аккредитационной экспертизы члены экспертной группы готовят отчеты об аккредитационной экспертизе в части закрепленных за ними образовательных программ.</w:t>
      </w:r>
    </w:p>
    <w:p w:rsidR="00BE4738" w:rsidRDefault="00BE4738">
      <w:pPr>
        <w:pStyle w:val="ConsPlusNormal"/>
        <w:ind w:firstLine="540"/>
        <w:jc w:val="both"/>
      </w:pPr>
      <w:r>
        <w:t>Помимо документов, представленных организацией, экспертная группа может использовать документы и материалы, размещенные организацией на ее официальном сайте в сети "Интернет".</w:t>
      </w:r>
    </w:p>
    <w:p w:rsidR="00BE4738" w:rsidRDefault="00BE4738">
      <w:pPr>
        <w:pStyle w:val="ConsPlusNormal"/>
        <w:ind w:firstLine="540"/>
        <w:jc w:val="both"/>
      </w:pPr>
      <w:r>
        <w:t>Дополнительно сообщаем, что при проведении аккредитационной экспертизы образовательной деятельности по образовательным программам, которые обеспечивают реализацию образовательных стандартов, устанавливаемых образовательными организациями самостоятельно, аккредитационная экспертиза в части содержания подготовки обучающихся не проводится.</w:t>
      </w:r>
    </w:p>
    <w:p w:rsidR="00BE4738" w:rsidRDefault="00BE4738">
      <w:pPr>
        <w:pStyle w:val="ConsPlusNormal"/>
        <w:ind w:firstLine="540"/>
        <w:jc w:val="both"/>
      </w:pPr>
    </w:p>
    <w:p w:rsidR="00BE4738" w:rsidRDefault="00BE4738">
      <w:pPr>
        <w:pStyle w:val="ConsPlusNormal"/>
        <w:jc w:val="right"/>
      </w:pPr>
      <w:r>
        <w:t>С.С.КРАВЦОВ</w:t>
      </w:r>
    </w:p>
    <w:p w:rsidR="00BE4738" w:rsidRDefault="00BE4738">
      <w:pPr>
        <w:pStyle w:val="ConsPlusNormal"/>
        <w:ind w:firstLine="540"/>
        <w:jc w:val="both"/>
      </w:pPr>
    </w:p>
    <w:p w:rsidR="00BE4738" w:rsidRDefault="00BE4738">
      <w:pPr>
        <w:pStyle w:val="ConsPlusNormal"/>
        <w:ind w:firstLine="540"/>
        <w:jc w:val="both"/>
      </w:pPr>
    </w:p>
    <w:p w:rsidR="00BE4738" w:rsidRDefault="00BE47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2FC7" w:rsidRDefault="00512FC7">
      <w:bookmarkStart w:id="0" w:name="_GoBack"/>
      <w:bookmarkEnd w:id="0"/>
    </w:p>
    <w:sectPr w:rsidR="00512FC7" w:rsidSect="00C90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38"/>
    <w:rsid w:val="00512FC7"/>
    <w:rsid w:val="00BE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4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4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4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4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58C917D9D0F7B3F1A8D810E6986B397A61E1CE48ED8BAA330F5486ED664A83AD2724063E3DCF01F7Z2J" TargetMode="External"/><Relationship Id="rId13" Type="http://schemas.openxmlformats.org/officeDocument/2006/relationships/hyperlink" Target="consultantplus://offline/ref=DE58C917D9D0F7B3F1A8D810E6986B397A61E1CE48ED8BAA330F5486ED664A83AD2724063E3DCF05F7Z7J" TargetMode="External"/><Relationship Id="rId18" Type="http://schemas.openxmlformats.org/officeDocument/2006/relationships/hyperlink" Target="consultantplus://offline/ref=DE58C917D9D0F7B3F1A8D810E6986B397A61E2C84EED8BAA330F5486EDF6Z6J" TargetMode="External"/><Relationship Id="rId26" Type="http://schemas.openxmlformats.org/officeDocument/2006/relationships/hyperlink" Target="consultantplus://offline/ref=DE58C917D9D0F7B3F1A8D810E6986B397A61E2C84EED8BAA330F5486ED664A83AD2724063E3CCD03F7Z3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E58C917D9D0F7B3F1A8D810E6986B397A61E1CE48ED8BAA330F5486EDF6Z6J" TargetMode="External"/><Relationship Id="rId7" Type="http://schemas.openxmlformats.org/officeDocument/2006/relationships/hyperlink" Target="consultantplus://offline/ref=DE58C917D9D0F7B3F1A8D810E6986B397A61E2C84EED8BAA330F5486ED664A83AD2724063E3CCD03F7Z2J" TargetMode="External"/><Relationship Id="rId12" Type="http://schemas.openxmlformats.org/officeDocument/2006/relationships/hyperlink" Target="consultantplus://offline/ref=DE58C917D9D0F7B3F1A8D810E6986B397A61E1CE48ED8BAA330F5486ED664A83AD2724063E3DCF03F7Z3J" TargetMode="External"/><Relationship Id="rId17" Type="http://schemas.openxmlformats.org/officeDocument/2006/relationships/hyperlink" Target="consultantplus://offline/ref=DE58C917D9D0F7B3F1A8D810E6986B397A61E2C84EED8BAA330F5486ED664A83AD2724063E3CCA09F7Z6J" TargetMode="External"/><Relationship Id="rId25" Type="http://schemas.openxmlformats.org/officeDocument/2006/relationships/hyperlink" Target="consultantplus://offline/ref=DE58C917D9D0F7B3F1A8D810E6986B397A6FE4C640EB8BAA330F5486ED664A83AD272402373BFCZE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E58C917D9D0F7B3F1A8D810E6986B397A61E2C84EED8BAA330F5486ED664A83AD2724063E3CCB02F7Z6J" TargetMode="External"/><Relationship Id="rId20" Type="http://schemas.openxmlformats.org/officeDocument/2006/relationships/hyperlink" Target="consultantplus://offline/ref=DE58C917D9D0F7B3F1A8D810E6986B397A61E1CE48ED8BAA330F5486ED664A83AD2724063E3DCF00F7ZFJ" TargetMode="External"/><Relationship Id="rId29" Type="http://schemas.openxmlformats.org/officeDocument/2006/relationships/hyperlink" Target="consultantplus://offline/ref=DE58C917D9D0F7B3F1A8D810E6986B397A61E0CB4DE78BAA330F5486ED664A83AD2724003B3EFCZ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58C917D9D0F7B3F1A8D810E6986B397A61E1CE48ED8BAA330F5486EDF6Z6J" TargetMode="External"/><Relationship Id="rId11" Type="http://schemas.openxmlformats.org/officeDocument/2006/relationships/hyperlink" Target="consultantplus://offline/ref=DE58C917D9D0F7B3F1A8D810E6986B397A6BEFCD49E68BAA330F5486EDF6Z6J" TargetMode="External"/><Relationship Id="rId24" Type="http://schemas.openxmlformats.org/officeDocument/2006/relationships/hyperlink" Target="consultantplus://offline/ref=DE58C917D9D0F7B3F1A8D810E6986B397A6FE4C640EB8BAA330F5486ED664A83AD2724023738FCZ9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E58C917D9D0F7B3F1A8D810E6986B397A61E2C84EED8BAA330F5486ED664A83AD2724063E3CCD03F7Z3J" TargetMode="External"/><Relationship Id="rId23" Type="http://schemas.openxmlformats.org/officeDocument/2006/relationships/hyperlink" Target="consultantplus://offline/ref=DE58C917D9D0F7B3F1A8D810E6986B397A6FE4C640EB8BAA330F5486ED664A83AD272402373BFCZ6J" TargetMode="External"/><Relationship Id="rId28" Type="http://schemas.openxmlformats.org/officeDocument/2006/relationships/hyperlink" Target="consultantplus://offline/ref=DE58C917D9D0F7B3F1A8D810E6986B397A61E0CB4DE78BAA330F5486ED664A83AD27240039F3ZCJ" TargetMode="External"/><Relationship Id="rId10" Type="http://schemas.openxmlformats.org/officeDocument/2006/relationships/hyperlink" Target="consultantplus://offline/ref=DE58C917D9D0F7B3F1A8D810E6986B397A61E1CE48ED8BAA330F5486ED664A83AD2724063E3DCF01F7Z2J" TargetMode="External"/><Relationship Id="rId19" Type="http://schemas.openxmlformats.org/officeDocument/2006/relationships/hyperlink" Target="consultantplus://offline/ref=DE58C917D9D0F7B3F1A8D810E6986B397A61E1CF4EEE8BAA330F5486ED664A83AD2724063E3DCF00F7Z0J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58C917D9D0F7B3F1A8D810E6986B397A61E2C84EED8BAA330F5486ED664A83AD2724063E3CCA09F7Z6J" TargetMode="External"/><Relationship Id="rId14" Type="http://schemas.openxmlformats.org/officeDocument/2006/relationships/hyperlink" Target="consultantplus://offline/ref=DE58C917D9D0F7B3F1A8D810E6986B397A61E2C84EED8BAA330F5486ED664A83AD2724063E3DCE08F7ZFJ" TargetMode="External"/><Relationship Id="rId22" Type="http://schemas.openxmlformats.org/officeDocument/2006/relationships/hyperlink" Target="consultantplus://offline/ref=DE58C917D9D0F7B3F1A8D810E6986B397A61E2C84EED8BAA330F5486ED664A83AD2724063E3CCD06F7ZEJ" TargetMode="External"/><Relationship Id="rId27" Type="http://schemas.openxmlformats.org/officeDocument/2006/relationships/hyperlink" Target="consultantplus://offline/ref=DE58C917D9D0F7B3F1A8D810E6986B397A61E0CB4DE78BAA330F5486ED664A83AD27240039F3ZC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2016-05-25T09:25:00Z</dcterms:created>
  <dcterms:modified xsi:type="dcterms:W3CDTF">2016-05-25T09:25:00Z</dcterms:modified>
</cp:coreProperties>
</file>